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F3" w:rsidRPr="009959F3" w:rsidRDefault="009959F3" w:rsidP="009959F3">
      <w:pPr>
        <w:jc w:val="center"/>
        <w:rPr>
          <w:b/>
          <w:u w:val="single"/>
        </w:rPr>
      </w:pPr>
      <w:bookmarkStart w:id="0" w:name="_GoBack"/>
      <w:r w:rsidRPr="009959F3">
        <w:rPr>
          <w:b/>
          <w:u w:val="single"/>
        </w:rPr>
        <w:t>School Performance Data 2019</w:t>
      </w:r>
    </w:p>
    <w:bookmarkEnd w:id="0"/>
    <w:p w:rsidR="009959F3" w:rsidRDefault="009959F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371"/>
      </w:tblGrid>
      <w:tr w:rsidR="009959F3" w:rsidRPr="00C27635" w:rsidTr="008743C4">
        <w:tc>
          <w:tcPr>
            <w:tcW w:w="5381" w:type="dxa"/>
            <w:tcBorders>
              <w:right w:val="nil"/>
            </w:tcBorders>
          </w:tcPr>
          <w:p w:rsidR="009959F3" w:rsidRPr="00FD2BEC" w:rsidRDefault="009959F3" w:rsidP="008743C4">
            <w:pPr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738"/>
              <w:gridCol w:w="1085"/>
              <w:gridCol w:w="1018"/>
              <w:gridCol w:w="1018"/>
            </w:tblGrid>
            <w:tr w:rsidR="009959F3" w:rsidRPr="00C27635" w:rsidTr="008743C4">
              <w:tc>
                <w:tcPr>
                  <w:tcW w:w="1867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276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Standards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br/>
                    <w:t>(2019 NA)</w:t>
                  </w:r>
                </w:p>
              </w:tc>
              <w:tc>
                <w:tcPr>
                  <w:tcW w:w="3278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276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Attainment</w:t>
                  </w:r>
                </w:p>
              </w:tc>
            </w:tr>
            <w:tr w:rsidR="009959F3" w:rsidTr="008743C4">
              <w:tc>
                <w:tcPr>
                  <w:tcW w:w="1867" w:type="dxa"/>
                  <w:vMerge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093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094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2019</w:t>
                  </w:r>
                </w:p>
              </w:tc>
            </w:tr>
            <w:tr w:rsidR="009959F3" w:rsidTr="008743C4">
              <w:tc>
                <w:tcPr>
                  <w:tcW w:w="1867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GLD (72%)</w:t>
                  </w:r>
                </w:p>
              </w:tc>
              <w:tc>
                <w:tcPr>
                  <w:tcW w:w="1091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71%</w:t>
                  </w:r>
                </w:p>
              </w:tc>
              <w:tc>
                <w:tcPr>
                  <w:tcW w:w="1093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77%</w:t>
                  </w:r>
                </w:p>
              </w:tc>
              <w:tc>
                <w:tcPr>
                  <w:tcW w:w="1094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33620"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  <w:t>80%</w:t>
                  </w:r>
                </w:p>
              </w:tc>
            </w:tr>
            <w:tr w:rsidR="009959F3" w:rsidTr="008743C4">
              <w:tc>
                <w:tcPr>
                  <w:tcW w:w="1867" w:type="dxa"/>
                  <w:shd w:val="clear" w:color="auto" w:fill="BFBFBF" w:themeFill="background1" w:themeFillShade="BF"/>
                </w:tcPr>
                <w:p w:rsidR="009959F3" w:rsidRDefault="009959F3" w:rsidP="008743C4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PHONICS  (</w:t>
                  </w:r>
                  <w:proofErr w:type="gramEnd"/>
                  <w:r>
                    <w:rPr>
                      <w:rFonts w:ascii="Century Gothic" w:hAnsi="Century Gothic"/>
                      <w:sz w:val="18"/>
                      <w:szCs w:val="18"/>
                    </w:rPr>
                    <w:t>82%)</w:t>
                  </w:r>
                </w:p>
              </w:tc>
              <w:tc>
                <w:tcPr>
                  <w:tcW w:w="1091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63%</w:t>
                  </w:r>
                </w:p>
              </w:tc>
              <w:tc>
                <w:tcPr>
                  <w:tcW w:w="1093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84%</w:t>
                  </w:r>
                </w:p>
              </w:tc>
              <w:tc>
                <w:tcPr>
                  <w:tcW w:w="1094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33620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81%</w:t>
                  </w:r>
                </w:p>
              </w:tc>
            </w:tr>
            <w:tr w:rsidR="009959F3" w:rsidTr="008743C4">
              <w:tc>
                <w:tcPr>
                  <w:tcW w:w="1867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KS1 EXS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br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R75 / W69/ M76</w:t>
                  </w:r>
                </w:p>
              </w:tc>
              <w:tc>
                <w:tcPr>
                  <w:tcW w:w="1091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85%/72%/ 80%</w:t>
                  </w:r>
                </w:p>
              </w:tc>
              <w:tc>
                <w:tcPr>
                  <w:tcW w:w="1093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75%/ 66%/ 81%</w:t>
                  </w:r>
                </w:p>
              </w:tc>
              <w:tc>
                <w:tcPr>
                  <w:tcW w:w="1094" w:type="dxa"/>
                  <w:shd w:val="clear" w:color="auto" w:fill="E2EFD9" w:themeFill="accent6" w:themeFillTint="33"/>
                </w:tcPr>
                <w:p w:rsidR="009959F3" w:rsidRPr="00FD2BEC" w:rsidRDefault="009959F3" w:rsidP="008743C4">
                  <w:pPr>
                    <w:jc w:val="center"/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</w:pPr>
                  <w:r w:rsidRPr="00C33620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74%/ 61%/ 70%</w:t>
                  </w:r>
                </w:p>
              </w:tc>
            </w:tr>
            <w:tr w:rsidR="009959F3" w:rsidTr="008743C4">
              <w:tc>
                <w:tcPr>
                  <w:tcW w:w="1867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KS1 GDS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br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R25</w:t>
                  </w:r>
                  <w:r w:rsidRPr="00C27635">
                    <w:rPr>
                      <w:rFonts w:ascii="Century Gothic" w:hAnsi="Century Gothic"/>
                      <w:sz w:val="14"/>
                      <w:szCs w:val="14"/>
                    </w:rPr>
                    <w:t>/ W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  <w:r w:rsidRPr="00C27635">
                    <w:rPr>
                      <w:rFonts w:ascii="Century Gothic" w:hAnsi="Century Gothic"/>
                      <w:sz w:val="14"/>
                      <w:szCs w:val="14"/>
                    </w:rPr>
                    <w:t xml:space="preserve"> / 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1091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32%/ 22%/ 20%</w:t>
                  </w:r>
                </w:p>
              </w:tc>
              <w:tc>
                <w:tcPr>
                  <w:tcW w:w="1093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36%/ 20%/ 41%</w:t>
                  </w:r>
                </w:p>
              </w:tc>
              <w:tc>
                <w:tcPr>
                  <w:tcW w:w="1094" w:type="dxa"/>
                  <w:shd w:val="clear" w:color="auto" w:fill="E2EFD9" w:themeFill="accent6" w:themeFillTint="33"/>
                </w:tcPr>
                <w:p w:rsidR="009959F3" w:rsidRPr="00FD2BEC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33620"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  <w:t>37%/ 19%/ 26%</w:t>
                  </w:r>
                </w:p>
              </w:tc>
            </w:tr>
            <w:tr w:rsidR="009959F3" w:rsidTr="008743C4">
              <w:tc>
                <w:tcPr>
                  <w:tcW w:w="1867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KS2 EXS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br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R73 / W78/ M79 / EGPS 78</w:t>
                  </w:r>
                </w:p>
              </w:tc>
              <w:tc>
                <w:tcPr>
                  <w:tcW w:w="1091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80%/ 76%/ 84%/ 78%</w:t>
                  </w:r>
                </w:p>
              </w:tc>
              <w:tc>
                <w:tcPr>
                  <w:tcW w:w="1093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65%/ 82%/ 78%/ 82%</w:t>
                  </w:r>
                </w:p>
              </w:tc>
              <w:tc>
                <w:tcPr>
                  <w:tcW w:w="1094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33620"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  <w:t>75%/ 83%/ 90%/ 86%</w:t>
                  </w:r>
                </w:p>
              </w:tc>
            </w:tr>
            <w:tr w:rsidR="009959F3" w:rsidTr="008743C4">
              <w:tc>
                <w:tcPr>
                  <w:tcW w:w="1867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KS2 GDS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br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R27</w:t>
                  </w:r>
                  <w:r w:rsidRPr="00C27635">
                    <w:rPr>
                      <w:rFonts w:ascii="Century Gothic" w:hAnsi="Century Gothic"/>
                      <w:sz w:val="14"/>
                      <w:szCs w:val="14"/>
                    </w:rPr>
                    <w:t xml:space="preserve"> / W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  <w:r w:rsidRPr="00C27635">
                    <w:rPr>
                      <w:rFonts w:ascii="Century Gothic" w:hAnsi="Century Gothic"/>
                      <w:sz w:val="14"/>
                      <w:szCs w:val="14"/>
                    </w:rPr>
                    <w:t xml:space="preserve"> / 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27/ EGPS 36</w:t>
                  </w:r>
                </w:p>
              </w:tc>
              <w:tc>
                <w:tcPr>
                  <w:tcW w:w="1091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22%/ 20%/ 25%/ 35%</w:t>
                  </w:r>
                </w:p>
              </w:tc>
              <w:tc>
                <w:tcPr>
                  <w:tcW w:w="1093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15%/ 13%/ 22%/ 38%</w:t>
                  </w:r>
                </w:p>
              </w:tc>
              <w:tc>
                <w:tcPr>
                  <w:tcW w:w="1094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33620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 xml:space="preserve">25%/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20%/ </w:t>
                  </w:r>
                  <w:r w:rsidRPr="00C33620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15%/ 32%</w:t>
                  </w:r>
                </w:p>
              </w:tc>
            </w:tr>
            <w:tr w:rsidR="009959F3" w:rsidTr="008743C4">
              <w:tc>
                <w:tcPr>
                  <w:tcW w:w="1867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KS2 RWM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br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EXS 65/ GDS 11</w:t>
                  </w:r>
                </w:p>
              </w:tc>
              <w:tc>
                <w:tcPr>
                  <w:tcW w:w="1091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69%/ 4%</w:t>
                  </w:r>
                </w:p>
              </w:tc>
              <w:tc>
                <w:tcPr>
                  <w:tcW w:w="1093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62%/ 5%</w:t>
                  </w:r>
                </w:p>
              </w:tc>
              <w:tc>
                <w:tcPr>
                  <w:tcW w:w="1094" w:type="dxa"/>
                  <w:shd w:val="clear" w:color="auto" w:fill="E2EFD9" w:themeFill="accent6" w:themeFillTint="33"/>
                </w:tcPr>
                <w:p w:rsidR="009959F3" w:rsidRPr="00C27635" w:rsidRDefault="009959F3" w:rsidP="008743C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33620"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  <w:t xml:space="preserve">69%/ </w:t>
                  </w:r>
                  <w:r w:rsidRPr="00C33620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10%</w:t>
                  </w:r>
                </w:p>
              </w:tc>
            </w:tr>
          </w:tbl>
          <w:p w:rsidR="009959F3" w:rsidRPr="00C27635" w:rsidRDefault="009959F3" w:rsidP="008743C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81" w:type="dxa"/>
            <w:tcBorders>
              <w:left w:val="nil"/>
            </w:tcBorders>
          </w:tcPr>
          <w:p w:rsidR="009959F3" w:rsidRDefault="009959F3" w:rsidP="008743C4">
            <w:pPr>
              <w:pStyle w:val="ListParagraph"/>
              <w:ind w:left="171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171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004"/>
              <w:gridCol w:w="1309"/>
              <w:gridCol w:w="1310"/>
              <w:gridCol w:w="1310"/>
            </w:tblGrid>
            <w:tr w:rsidR="009959F3" w:rsidTr="008743C4">
              <w:tc>
                <w:tcPr>
                  <w:tcW w:w="1004" w:type="dxa"/>
                  <w:vMerge w:val="restart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276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Prog. KS1 to KS2</w:t>
                  </w:r>
                </w:p>
              </w:tc>
              <w:tc>
                <w:tcPr>
                  <w:tcW w:w="3929" w:type="dxa"/>
                  <w:gridSpan w:val="3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276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School Progress</w:t>
                  </w:r>
                </w:p>
              </w:tc>
            </w:tr>
            <w:tr w:rsidR="009959F3" w:rsidTr="008743C4">
              <w:tc>
                <w:tcPr>
                  <w:tcW w:w="1004" w:type="dxa"/>
                  <w:vMerge/>
                  <w:shd w:val="clear" w:color="auto" w:fill="BFBFBF" w:themeFill="background1" w:themeFillShade="BF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shd w:val="clear" w:color="auto" w:fill="BFBFBF" w:themeFill="background1" w:themeFillShade="BF"/>
                  <w:vAlign w:val="center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310" w:type="dxa"/>
                  <w:shd w:val="clear" w:color="auto" w:fill="BFBFBF" w:themeFill="background1" w:themeFillShade="BF"/>
                  <w:vAlign w:val="center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310" w:type="dxa"/>
                  <w:shd w:val="clear" w:color="auto" w:fill="BFBFBF" w:themeFill="background1" w:themeFillShade="BF"/>
                  <w:vAlign w:val="center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2019</w:t>
                  </w:r>
                </w:p>
              </w:tc>
            </w:tr>
            <w:tr w:rsidR="009959F3" w:rsidTr="008743C4">
              <w:tc>
                <w:tcPr>
                  <w:tcW w:w="1004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276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Reading</w:t>
                  </w:r>
                </w:p>
              </w:tc>
              <w:tc>
                <w:tcPr>
                  <w:tcW w:w="1309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310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-3.4</w:t>
                  </w:r>
                </w:p>
              </w:tc>
              <w:tc>
                <w:tcPr>
                  <w:tcW w:w="1310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-0.9</w:t>
                  </w:r>
                </w:p>
              </w:tc>
            </w:tr>
            <w:tr w:rsidR="009959F3" w:rsidTr="008743C4">
              <w:tc>
                <w:tcPr>
                  <w:tcW w:w="1004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276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Writing</w:t>
                  </w:r>
                </w:p>
              </w:tc>
              <w:tc>
                <w:tcPr>
                  <w:tcW w:w="1309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-1.5</w:t>
                  </w:r>
                </w:p>
              </w:tc>
              <w:tc>
                <w:tcPr>
                  <w:tcW w:w="1310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-0.4</w:t>
                  </w:r>
                </w:p>
              </w:tc>
              <w:tc>
                <w:tcPr>
                  <w:tcW w:w="1310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-0.3</w:t>
                  </w:r>
                </w:p>
              </w:tc>
            </w:tr>
            <w:tr w:rsidR="009959F3" w:rsidTr="008743C4">
              <w:tc>
                <w:tcPr>
                  <w:tcW w:w="1004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276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Maths</w:t>
                  </w:r>
                </w:p>
              </w:tc>
              <w:tc>
                <w:tcPr>
                  <w:tcW w:w="1309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1310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1310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-0.5</w:t>
                  </w:r>
                </w:p>
              </w:tc>
            </w:tr>
          </w:tbl>
          <w:p w:rsidR="009959F3" w:rsidRDefault="009959F3" w:rsidP="008743C4">
            <w:pPr>
              <w:pStyle w:val="ListParagraph"/>
              <w:ind w:left="171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171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944"/>
              <w:gridCol w:w="520"/>
              <w:gridCol w:w="829"/>
              <w:gridCol w:w="541"/>
              <w:gridCol w:w="807"/>
              <w:gridCol w:w="516"/>
              <w:gridCol w:w="807"/>
            </w:tblGrid>
            <w:tr w:rsidR="009959F3" w:rsidRPr="00C27635" w:rsidTr="008743C4">
              <w:tc>
                <w:tcPr>
                  <w:tcW w:w="945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Scaled Scores</w:t>
                  </w:r>
                </w:p>
              </w:tc>
              <w:tc>
                <w:tcPr>
                  <w:tcW w:w="1365" w:type="dxa"/>
                  <w:gridSpan w:val="2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365" w:type="dxa"/>
                  <w:gridSpan w:val="2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90" w:type="dxa"/>
                  <w:gridSpan w:val="2"/>
                  <w:shd w:val="clear" w:color="auto" w:fill="BFBFBF" w:themeFill="background1" w:themeFillShade="BF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2019</w:t>
                  </w:r>
                </w:p>
              </w:tc>
            </w:tr>
            <w:tr w:rsidR="009959F3" w:rsidRPr="00C27635" w:rsidTr="008743C4">
              <w:tc>
                <w:tcPr>
                  <w:tcW w:w="945" w:type="dxa"/>
                  <w:vMerge/>
                  <w:shd w:val="clear" w:color="auto" w:fill="BFBFBF" w:themeFill="background1" w:themeFillShade="BF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843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School </w:t>
                  </w:r>
                </w:p>
              </w:tc>
              <w:tc>
                <w:tcPr>
                  <w:tcW w:w="558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807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School </w:t>
                  </w:r>
                </w:p>
              </w:tc>
              <w:tc>
                <w:tcPr>
                  <w:tcW w:w="483" w:type="dxa"/>
                  <w:shd w:val="clear" w:color="auto" w:fill="BFBFBF" w:themeFill="background1" w:themeFillShade="BF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807" w:type="dxa"/>
                  <w:shd w:val="clear" w:color="auto" w:fill="BFBFBF" w:themeFill="background1" w:themeFillShade="BF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School</w:t>
                  </w:r>
                </w:p>
              </w:tc>
            </w:tr>
            <w:tr w:rsidR="009959F3" w:rsidTr="008743C4">
              <w:tc>
                <w:tcPr>
                  <w:tcW w:w="945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276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Reading</w:t>
                  </w:r>
                </w:p>
              </w:tc>
              <w:tc>
                <w:tcPr>
                  <w:tcW w:w="522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843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104.1</w:t>
                  </w:r>
                </w:p>
              </w:tc>
              <w:tc>
                <w:tcPr>
                  <w:tcW w:w="558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807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102.0</w:t>
                  </w:r>
                </w:p>
              </w:tc>
              <w:tc>
                <w:tcPr>
                  <w:tcW w:w="483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807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104.5</w:t>
                  </w:r>
                </w:p>
              </w:tc>
            </w:tr>
            <w:tr w:rsidR="009959F3" w:rsidTr="008743C4">
              <w:tc>
                <w:tcPr>
                  <w:tcW w:w="945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GPS</w:t>
                  </w:r>
                </w:p>
              </w:tc>
              <w:tc>
                <w:tcPr>
                  <w:tcW w:w="522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843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106.4</w:t>
                  </w:r>
                </w:p>
              </w:tc>
              <w:tc>
                <w:tcPr>
                  <w:tcW w:w="558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807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106.2</w:t>
                  </w:r>
                </w:p>
              </w:tc>
              <w:tc>
                <w:tcPr>
                  <w:tcW w:w="483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807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106.1</w:t>
                  </w:r>
                </w:p>
              </w:tc>
            </w:tr>
            <w:tr w:rsidR="009959F3" w:rsidTr="008743C4">
              <w:tc>
                <w:tcPr>
                  <w:tcW w:w="945" w:type="dxa"/>
                  <w:shd w:val="clear" w:color="auto" w:fill="BFBFBF" w:themeFill="background1" w:themeFillShade="BF"/>
                </w:tcPr>
                <w:p w:rsidR="009959F3" w:rsidRPr="00C27635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276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Maths</w:t>
                  </w:r>
                </w:p>
              </w:tc>
              <w:tc>
                <w:tcPr>
                  <w:tcW w:w="522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843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105.5</w:t>
                  </w:r>
                </w:p>
              </w:tc>
              <w:tc>
                <w:tcPr>
                  <w:tcW w:w="558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807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104.6</w:t>
                  </w:r>
                </w:p>
              </w:tc>
              <w:tc>
                <w:tcPr>
                  <w:tcW w:w="483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807" w:type="dxa"/>
                  <w:shd w:val="clear" w:color="auto" w:fill="E2EFD9" w:themeFill="accent6" w:themeFillTint="33"/>
                </w:tcPr>
                <w:p w:rsidR="009959F3" w:rsidRDefault="009959F3" w:rsidP="008743C4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105.4</w:t>
                  </w:r>
                </w:p>
              </w:tc>
            </w:tr>
          </w:tbl>
          <w:p w:rsidR="009959F3" w:rsidRPr="00C27635" w:rsidRDefault="009959F3" w:rsidP="008743C4">
            <w:pPr>
              <w:pStyle w:val="ListParagraph"/>
              <w:ind w:left="181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959F3" w:rsidRDefault="009959F3"/>
    <w:sectPr w:rsidR="009959F3" w:rsidSect="00995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F3"/>
    <w:rsid w:val="009959F3"/>
    <w:rsid w:val="00A34D0F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CD5B"/>
  <w15:chartTrackingRefBased/>
  <w15:docId w15:val="{55509E94-C795-48DE-8167-ED0F6660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Ruffell, A</dc:creator>
  <cp:keywords/>
  <dc:description/>
  <cp:lastModifiedBy>Ruffell, A</cp:lastModifiedBy>
  <cp:revision>1</cp:revision>
  <dcterms:created xsi:type="dcterms:W3CDTF">2020-10-10T16:01:00Z</dcterms:created>
  <dcterms:modified xsi:type="dcterms:W3CDTF">2020-10-10T16:03:00Z</dcterms:modified>
</cp:coreProperties>
</file>